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5B80" w14:textId="77777777" w:rsidR="002C57E4" w:rsidRPr="00E179A6" w:rsidRDefault="002C57E4" w:rsidP="002C57E4">
      <w:pPr>
        <w:jc w:val="center"/>
        <w:rPr>
          <w:rFonts w:eastAsia="MS Gothic"/>
          <w:snapToGrid/>
        </w:rPr>
      </w:pPr>
      <w:r w:rsidRPr="00E179A6">
        <w:rPr>
          <w:rFonts w:eastAsia="MS Gothic"/>
          <w:snapToGrid/>
        </w:rPr>
        <w:t>Attachment 11</w:t>
      </w:r>
    </w:p>
    <w:p w14:paraId="1272E896" w14:textId="77777777" w:rsidR="002C57E4" w:rsidRPr="007C7C58" w:rsidRDefault="002C57E4" w:rsidP="002C57E4">
      <w:pPr>
        <w:jc w:val="center"/>
        <w:rPr>
          <w:rFonts w:eastAsia="MS Gothic"/>
          <w:b/>
          <w:bCs/>
          <w:snapToGrid/>
        </w:rPr>
      </w:pPr>
      <w:bookmarkStart w:id="0" w:name="_Hlk93501308"/>
      <w:r w:rsidRPr="007C7C58">
        <w:rPr>
          <w:rFonts w:eastAsia="MS Gothic"/>
          <w:b/>
          <w:bCs/>
          <w:snapToGrid/>
        </w:rPr>
        <w:t>Potential Evidence-Informed Programs for Component Tw</w:t>
      </w:r>
      <w:bookmarkEnd w:id="0"/>
      <w:r w:rsidRPr="007C7C58">
        <w:rPr>
          <w:rFonts w:eastAsia="MS Gothic"/>
          <w:b/>
          <w:bCs/>
          <w:snapToGrid/>
        </w:rPr>
        <w:t>o</w:t>
      </w:r>
    </w:p>
    <w:p w14:paraId="5D5186FA" w14:textId="77777777" w:rsidR="002C57E4" w:rsidRPr="007C7C58" w:rsidRDefault="002C57E4" w:rsidP="002C57E4">
      <w:pPr>
        <w:jc w:val="center"/>
        <w:rPr>
          <w:rFonts w:eastAsia="MS Gothic"/>
          <w:b/>
          <w:bCs/>
          <w:snapToGrid/>
        </w:rPr>
      </w:pPr>
      <w:r w:rsidRPr="007C7C58">
        <w:rPr>
          <w:rFonts w:eastAsia="MS Gothic"/>
          <w:b/>
          <w:bCs/>
          <w:snapToGrid/>
        </w:rPr>
        <w:t>Brothers as Allies</w:t>
      </w:r>
    </w:p>
    <w:p w14:paraId="1BB3FF69" w14:textId="77777777" w:rsidR="002C57E4" w:rsidRPr="00E52DA4" w:rsidRDefault="002C57E4" w:rsidP="002C57E4">
      <w:pPr>
        <w:rPr>
          <w:snapToGrid/>
          <w:shd w:val="clear" w:color="auto" w:fill="FFFFFF"/>
        </w:rPr>
      </w:pPr>
      <w:bookmarkStart w:id="1" w:name="_Hlk93405758"/>
      <w:r w:rsidRPr="00E52DA4">
        <w:rPr>
          <w:snapToGrid/>
          <w:shd w:val="clear" w:color="auto" w:fill="FFFFFF"/>
        </w:rPr>
        <w:t>The </w:t>
      </w:r>
      <w:r w:rsidRPr="00E52DA4">
        <w:rPr>
          <w:i/>
          <w:iCs/>
          <w:snapToGrid/>
        </w:rPr>
        <w:t>Brothers as Allies</w:t>
      </w:r>
      <w:r w:rsidRPr="00E52DA4">
        <w:rPr>
          <w:snapToGrid/>
          <w:shd w:val="clear" w:color="auto" w:fill="FFFFFF"/>
        </w:rPr>
        <w:t> program is a strengths-based, group approach to promote boys' and young men's safe and healthy passage through pre-teen and adolescent years. The program focuses on building on boys' natural strengths rather than on addressing their weaknesses. Designed especially for middle school boys, the program aims to help boys learn how to talk with people in a respectful and positive way, how to understand other people's perspectives, and what it means to be a healthy, balanced man. The study was unique in its focus on reducing the risk of violence perpetration, rather than victimization. This program is part of the Boys Council curricula developed by </w:t>
      </w:r>
      <w:hyperlink r:id="rId4" w:history="1">
        <w:r w:rsidRPr="00E52DA4">
          <w:rPr>
            <w:b/>
            <w:bCs/>
            <w:snapToGrid/>
            <w:u w:val="single"/>
            <w:shd w:val="clear" w:color="auto" w:fill="FFFFFF"/>
          </w:rPr>
          <w:t>One Circle Foundation</w:t>
        </w:r>
      </w:hyperlink>
      <w:r w:rsidRPr="00E52DA4">
        <w:rPr>
          <w:snapToGrid/>
          <w:shd w:val="clear" w:color="auto" w:fill="FFFFFF"/>
        </w:rPr>
        <w:t>.</w:t>
      </w:r>
    </w:p>
    <w:p w14:paraId="635A29C5" w14:textId="77777777" w:rsidR="002C57E4" w:rsidRPr="007C7C58" w:rsidRDefault="002C57E4" w:rsidP="002C57E4">
      <w:pPr>
        <w:rPr>
          <w:rFonts w:eastAsia="MS Gothic"/>
          <w:b/>
          <w:bCs/>
          <w:snapToGrid/>
        </w:rPr>
      </w:pPr>
      <w:bookmarkStart w:id="2" w:name="_Hlk93499396"/>
      <w:bookmarkEnd w:id="1"/>
      <w:r w:rsidRPr="007C7C58">
        <w:rPr>
          <w:rFonts w:eastAsia="MS Gothic"/>
          <w:b/>
          <w:bCs/>
          <w:snapToGrid/>
        </w:rPr>
        <w:t>Bringing in the Bystander – Highschool Edition</w:t>
      </w:r>
    </w:p>
    <w:bookmarkEnd w:id="2"/>
    <w:p w14:paraId="1501677A" w14:textId="77777777" w:rsidR="002C57E4" w:rsidRPr="00E52DA4" w:rsidRDefault="002C57E4" w:rsidP="002C57E4">
      <w:pPr>
        <w:rPr>
          <w:snapToGrid/>
          <w:shd w:val="clear" w:color="auto" w:fill="FFFFFF"/>
        </w:rPr>
      </w:pPr>
      <w:r w:rsidRPr="00E52DA4">
        <w:rPr>
          <w:snapToGrid/>
          <w:shd w:val="clear" w:color="auto" w:fill="FFFFFF"/>
        </w:rPr>
        <w:t>Bringing in the Bystander (</w:t>
      </w:r>
      <w:proofErr w:type="spellStart"/>
      <w:r w:rsidRPr="00E52DA4">
        <w:rPr>
          <w:snapToGrid/>
          <w:shd w:val="clear" w:color="auto" w:fill="FFFFFF"/>
        </w:rPr>
        <w:t>BitB</w:t>
      </w:r>
      <w:proofErr w:type="spellEnd"/>
      <w:r w:rsidRPr="00E52DA4">
        <w:rPr>
          <w:snapToGrid/>
          <w:shd w:val="clear" w:color="auto" w:fill="FFFFFF"/>
        </w:rPr>
        <w:t xml:space="preserve">) High School is an in-person educational program that encourages participants to become positive bystanders in instances of sexual and interpersonal violence and harassment. Overall, adolescents will learn to identify problems about the realities of relationship abuse and sexual assault, and how these realities negatively impact on individuals and communities. They will also learn practical skills for safe and effective intervention, how to prevent problems from arising, and how to contribute to building a healthier community. </w:t>
      </w:r>
      <w:hyperlink r:id="rId5" w:history="1">
        <w:proofErr w:type="spellStart"/>
        <w:r w:rsidRPr="00E52DA4">
          <w:rPr>
            <w:snapToGrid/>
            <w:u w:val="single"/>
            <w:shd w:val="clear" w:color="auto" w:fill="FFFFFF"/>
          </w:rPr>
          <w:t>Soteria</w:t>
        </w:r>
        <w:proofErr w:type="spellEnd"/>
        <w:r w:rsidRPr="00E52DA4">
          <w:rPr>
            <w:snapToGrid/>
            <w:u w:val="single"/>
            <w:shd w:val="clear" w:color="auto" w:fill="FFFFFF"/>
          </w:rPr>
          <w:t xml:space="preserve"> Solutions</w:t>
        </w:r>
      </w:hyperlink>
    </w:p>
    <w:p w14:paraId="71EB5EED" w14:textId="77777777" w:rsidR="002C57E4" w:rsidRPr="007C7C58" w:rsidRDefault="002C57E4" w:rsidP="002C57E4">
      <w:pPr>
        <w:rPr>
          <w:rFonts w:eastAsia="MS Gothic"/>
          <w:b/>
          <w:bCs/>
          <w:snapToGrid/>
        </w:rPr>
      </w:pPr>
      <w:r w:rsidRPr="007C7C58">
        <w:rPr>
          <w:rFonts w:eastAsia="MS Gothic"/>
          <w:b/>
          <w:bCs/>
          <w:snapToGrid/>
        </w:rPr>
        <w:t>Money Habitudes</w:t>
      </w:r>
    </w:p>
    <w:p w14:paraId="6DA59F5C" w14:textId="77777777" w:rsidR="002C57E4" w:rsidRPr="00E52DA4" w:rsidRDefault="002C57E4" w:rsidP="002C57E4">
      <w:pPr>
        <w:rPr>
          <w:snapToGrid/>
          <w:shd w:val="clear" w:color="auto" w:fill="FFFFFF"/>
        </w:rPr>
      </w:pPr>
      <w:r w:rsidRPr="00E52DA4">
        <w:rPr>
          <w:snapToGrid/>
          <w:shd w:val="clear" w:color="auto" w:fill="FFFFFF"/>
        </w:rPr>
        <w:t xml:space="preserve">Understanding money is important for all teens. Even basic financial competence can improve their relationships as well as help them attain goals for lifestyle, education, </w:t>
      </w:r>
      <w:proofErr w:type="gramStart"/>
      <w:r w:rsidRPr="00E52DA4">
        <w:rPr>
          <w:snapToGrid/>
          <w:shd w:val="clear" w:color="auto" w:fill="FFFFFF"/>
        </w:rPr>
        <w:t>career</w:t>
      </w:r>
      <w:proofErr w:type="gramEnd"/>
      <w:r w:rsidRPr="00E52DA4">
        <w:rPr>
          <w:snapToGrid/>
          <w:shd w:val="clear" w:color="auto" w:fill="FFFFFF"/>
        </w:rPr>
        <w:t xml:space="preserve"> and family. But technical knowledge about money isn’t enough. In real life, it is often hidden attitudes that dictate how people </w:t>
      </w:r>
      <w:proofErr w:type="gramStart"/>
      <w:r w:rsidRPr="00E52DA4">
        <w:rPr>
          <w:snapToGrid/>
          <w:shd w:val="clear" w:color="auto" w:fill="FFFFFF"/>
        </w:rPr>
        <w:t>actually spend</w:t>
      </w:r>
      <w:proofErr w:type="gramEnd"/>
      <w:r w:rsidRPr="00E52DA4">
        <w:rPr>
          <w:snapToGrid/>
          <w:shd w:val="clear" w:color="auto" w:fill="FFFFFF"/>
        </w:rPr>
        <w:t>, save and think about money, regardless of financial skills or economic status. </w:t>
      </w:r>
      <w:r w:rsidRPr="00E52DA4">
        <w:rPr>
          <w:i/>
          <w:iCs/>
          <w:snapToGrid/>
          <w:shd w:val="clear" w:color="auto" w:fill="FFFFFF"/>
        </w:rPr>
        <w:t xml:space="preserve">Money Habitudes® for </w:t>
      </w:r>
      <w:proofErr w:type="gramStart"/>
      <w:r w:rsidRPr="00E52DA4">
        <w:rPr>
          <w:i/>
          <w:iCs/>
          <w:snapToGrid/>
          <w:shd w:val="clear" w:color="auto" w:fill="FFFFFF"/>
        </w:rPr>
        <w:t>Teens</w:t>
      </w:r>
      <w:proofErr w:type="gramEnd"/>
      <w:r w:rsidRPr="00E52DA4">
        <w:rPr>
          <w:snapToGrid/>
          <w:shd w:val="clear" w:color="auto" w:fill="FFFFFF"/>
        </w:rPr>
        <w:t xml:space="preserve"> focuses on exploring this “human side of money.” </w:t>
      </w:r>
      <w:hyperlink r:id="rId6" w:history="1">
        <w:r w:rsidRPr="00E52DA4">
          <w:rPr>
            <w:snapToGrid/>
            <w:u w:val="single"/>
            <w:shd w:val="clear" w:color="auto" w:fill="FFFFFF"/>
          </w:rPr>
          <w:t>Dibble Institute</w:t>
        </w:r>
      </w:hyperlink>
    </w:p>
    <w:p w14:paraId="05DF709B" w14:textId="77777777" w:rsidR="002C57E4" w:rsidRPr="007C7C58" w:rsidRDefault="002C57E4" w:rsidP="002C57E4">
      <w:pPr>
        <w:rPr>
          <w:rFonts w:eastAsia="MS Gothic"/>
          <w:b/>
          <w:bCs/>
          <w:snapToGrid/>
        </w:rPr>
      </w:pPr>
      <w:r w:rsidRPr="007C7C58">
        <w:rPr>
          <w:rFonts w:eastAsia="MS Gothic"/>
          <w:b/>
          <w:bCs/>
          <w:snapToGrid/>
        </w:rPr>
        <w:t>Healthy Choices, Healthy Relationships</w:t>
      </w:r>
    </w:p>
    <w:p w14:paraId="67EF983D" w14:textId="77777777" w:rsidR="002C57E4" w:rsidRPr="00E52DA4" w:rsidRDefault="002C57E4" w:rsidP="002C57E4">
      <w:pPr>
        <w:rPr>
          <w:rFonts w:eastAsia="Calibri"/>
          <w:snapToGrid/>
        </w:rPr>
      </w:pPr>
      <w:r w:rsidRPr="00E52DA4">
        <w:rPr>
          <w:rFonts w:eastAsia="Calibri"/>
          <w:snapToGrid/>
        </w:rPr>
        <w:t>Fully aligned with national standards for health education, </w:t>
      </w:r>
      <w:r w:rsidRPr="00E52DA4">
        <w:rPr>
          <w:rFonts w:eastAsia="Calibri"/>
          <w:i/>
          <w:iCs/>
          <w:snapToGrid/>
        </w:rPr>
        <w:t>Healthy Choices, Healthy Relationships</w:t>
      </w:r>
      <w:r w:rsidRPr="00E52DA4">
        <w:rPr>
          <w:rFonts w:eastAsia="Calibri"/>
          <w:snapToGrid/>
        </w:rPr>
        <w:t xml:space="preserve"> introduces students to the foundations of forming strong, satisfying relationships. In 11 lessons, they examine how peers, family, and media influence expectations about love and life. They discuss appropriate friendship and dating behaviors, identify and prepare for potential problems, explore the nature of mature interpersonal behavior, practice decision-making and problem solving, and learn other life skills necessary for overall wellness. A recurring theme is the importance to teens of making informed choices about their relationships, their goals, and the way they live their lives. A variety of lively activities challenge them to consider, evaluate and personalize messages from the lessons. </w:t>
      </w:r>
      <w:r w:rsidRPr="00E52DA4">
        <w:rPr>
          <w:rFonts w:eastAsia="Calibri"/>
          <w:i/>
          <w:iCs/>
          <w:snapToGrid/>
        </w:rPr>
        <w:t>Healthy Choices, Healthy Relationships</w:t>
      </w:r>
      <w:r w:rsidRPr="00E52DA4">
        <w:rPr>
          <w:rFonts w:eastAsia="Calibri"/>
          <w:snapToGrid/>
        </w:rPr>
        <w:t xml:space="preserve"> comes in a ready-to-use format, including individual and group activities, customizable PowerPoint slides, and posters. </w:t>
      </w:r>
      <w:hyperlink r:id="rId7" w:history="1">
        <w:r w:rsidRPr="00E52DA4">
          <w:rPr>
            <w:rStyle w:val="Hyperlink"/>
            <w:rFonts w:eastAsia="Calibri"/>
            <w:snapToGrid/>
            <w:sz w:val="22"/>
            <w:szCs w:val="22"/>
          </w:rPr>
          <w:t>Dibble Institute</w:t>
        </w:r>
      </w:hyperlink>
    </w:p>
    <w:p w14:paraId="6DB04342" w14:textId="1E1138C9" w:rsidR="002C57E4" w:rsidRDefault="002C57E4" w:rsidP="002C57E4">
      <w:pPr>
        <w:widowControl/>
        <w:tabs>
          <w:tab w:val="clear" w:pos="360"/>
          <w:tab w:val="clear" w:pos="1080"/>
          <w:tab w:val="clear" w:pos="1800"/>
          <w:tab w:val="clear" w:pos="2520"/>
        </w:tabs>
        <w:spacing w:after="0"/>
      </w:pPr>
    </w:p>
    <w:p w14:paraId="4AE77B5A" w14:textId="77777777" w:rsidR="00B70F54" w:rsidRDefault="00B70F54"/>
    <w:sectPr w:rsidR="00B70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E4"/>
    <w:rsid w:val="000F516A"/>
    <w:rsid w:val="002C57E4"/>
    <w:rsid w:val="00B70F54"/>
    <w:rsid w:val="00C95BEA"/>
    <w:rsid w:val="00E4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A197"/>
  <w15:chartTrackingRefBased/>
  <w15:docId w15:val="{6DEDF4B6-9363-4997-B999-84F3C034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E4"/>
    <w:pPr>
      <w:widowControl w:val="0"/>
      <w:tabs>
        <w:tab w:val="left" w:pos="360"/>
        <w:tab w:val="left" w:pos="1080"/>
        <w:tab w:val="left" w:pos="1800"/>
        <w:tab w:val="left" w:pos="2520"/>
      </w:tabs>
      <w:spacing w:after="12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5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bbleinstitute.org/product/healthy-choices-healthy-relationships-instructors-k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bbleinstitute.org/our-programs/money-habitudes/?gclid=Cj0KCQiAip-PBhDVARIsAPP2xc3J9y90s2gtXc14NLtjuivHTlWsgx1BygXlNcN9BlLfLDQoaLsx7XEaAv1KEALw_wcB" TargetMode="External"/><Relationship Id="rId5" Type="http://schemas.openxmlformats.org/officeDocument/2006/relationships/hyperlink" Target="https://soteriasolutions.podia.com/high-school-products" TargetMode="External"/><Relationship Id="rId4" Type="http://schemas.openxmlformats.org/officeDocument/2006/relationships/hyperlink" Target="http://www.onecirclefoundatio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Evidence-Informed Programs for Component Two</dc:title>
  <dc:subject/>
  <dc:creator>Castle, Betty S (HEALTH)</dc:creator>
  <cp:keywords>CAPP RFA 2022</cp:keywords>
  <dc:description/>
  <cp:lastModifiedBy>Karen Schantz</cp:lastModifiedBy>
  <cp:revision>2</cp:revision>
  <dcterms:created xsi:type="dcterms:W3CDTF">2023-05-11T14:58:00Z</dcterms:created>
  <dcterms:modified xsi:type="dcterms:W3CDTF">2023-05-11T14:58:00Z</dcterms:modified>
</cp:coreProperties>
</file>